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2067"/>
        <w:gridCol w:w="2087"/>
        <w:gridCol w:w="6479"/>
        <w:gridCol w:w="2190"/>
        <w:gridCol w:w="2907"/>
      </w:tblGrid>
      <w:tr w:rsidR="00445538" w:rsidRPr="00BF2FB6" w14:paraId="07EA6CCD" w14:textId="77777777" w:rsidTr="008F0F89">
        <w:tc>
          <w:tcPr>
            <w:tcW w:w="2067" w:type="dxa"/>
          </w:tcPr>
          <w:p w14:paraId="2CB769AD" w14:textId="77777777" w:rsidR="00445538" w:rsidRPr="00BF2FB6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0AA7BB50" w14:textId="0A206039" w:rsidR="00445538" w:rsidRPr="008F0F89" w:rsidRDefault="00467682" w:rsidP="00197998">
            <w:pPr>
              <w:rPr>
                <w:rFonts w:ascii="Tw Cen MT" w:hAnsi="Tw Cen MT" w:cstheme="minorHAnsi"/>
                <w:sz w:val="32"/>
                <w:szCs w:val="32"/>
              </w:rPr>
            </w:pPr>
            <w:r w:rsidRPr="00467682">
              <w:rPr>
                <w:rFonts w:ascii="Tw Cen MT" w:hAnsi="Tw Cen MT" w:cstheme="minorHAnsi"/>
                <w:sz w:val="32"/>
                <w:szCs w:val="32"/>
              </w:rPr>
              <w:t xml:space="preserve">.. </w:t>
            </w:r>
            <w:r w:rsidR="00FA2780">
              <w:rPr>
                <w:rFonts w:ascii="Tw Cen MT" w:hAnsi="Tw Cen MT" w:cstheme="minorHAnsi"/>
                <w:sz w:val="32"/>
                <w:szCs w:val="32"/>
              </w:rPr>
              <w:t>C</w:t>
            </w:r>
            <w:r w:rsidR="00C5548B">
              <w:rPr>
                <w:rFonts w:ascii="Tw Cen MT" w:hAnsi="Tw Cen MT" w:cstheme="minorHAnsi"/>
                <w:sz w:val="32"/>
                <w:szCs w:val="32"/>
              </w:rPr>
              <w:t xml:space="preserve">3 </w:t>
            </w:r>
            <w:r w:rsidR="00FA2780">
              <w:rPr>
                <w:rFonts w:ascii="Tw Cen MT" w:hAnsi="Tw Cen MT" w:cstheme="minorHAnsi"/>
                <w:sz w:val="32"/>
                <w:szCs w:val="32"/>
              </w:rPr>
              <w:t>Quantitative</w:t>
            </w:r>
          </w:p>
        </w:tc>
        <w:tc>
          <w:tcPr>
            <w:tcW w:w="2087" w:type="dxa"/>
          </w:tcPr>
          <w:p w14:paraId="14D65FA7" w14:textId="2B29F0E9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 xml:space="preserve"> 1</w:t>
            </w:r>
            <w:r w:rsidR="00C5548B">
              <w:rPr>
                <w:rFonts w:ascii="Tw Cen MT" w:hAnsi="Tw Cen MT" w:cstheme="minorHAnsi"/>
                <w:sz w:val="24"/>
                <w:szCs w:val="24"/>
              </w:rPr>
              <w:t>0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>Autumn</w:t>
            </w:r>
          </w:p>
        </w:tc>
        <w:tc>
          <w:tcPr>
            <w:tcW w:w="6479" w:type="dxa"/>
          </w:tcPr>
          <w:p w14:paraId="7F203DF7" w14:textId="697C57BC" w:rsidR="00E25346" w:rsidRPr="007339AA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 xml:space="preserve"> To </w:t>
            </w:r>
            <w:r w:rsidR="00FA2780">
              <w:rPr>
                <w:rFonts w:ascii="Tw Cen MT" w:hAnsi="Tw Cen MT" w:cstheme="minorHAnsi"/>
                <w:sz w:val="24"/>
                <w:szCs w:val="24"/>
              </w:rPr>
              <w:t xml:space="preserve">understand how Chemistry is used in industry to make the 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14:paraId="12F624B2" w14:textId="2A80EA98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8F0F89">
              <w:rPr>
                <w:rFonts w:ascii="Tw Cen MT" w:hAnsi="Tw Cen MT" w:cstheme="minorHAnsi"/>
                <w:sz w:val="24"/>
                <w:szCs w:val="24"/>
              </w:rPr>
              <w:t xml:space="preserve">This builds on our understanding of </w:t>
            </w:r>
            <w:r w:rsidR="00DF2A8A">
              <w:rPr>
                <w:rFonts w:ascii="Tw Cen MT" w:hAnsi="Tw Cen MT" w:cstheme="minorHAnsi"/>
                <w:sz w:val="24"/>
                <w:szCs w:val="24"/>
              </w:rPr>
              <w:t>elements and chemical reactions</w:t>
            </w:r>
            <w:r w:rsidR="008F0F89">
              <w:rPr>
                <w:rFonts w:ascii="Tw Cen MT" w:hAnsi="Tw Cen MT" w:cstheme="minorHAnsi"/>
                <w:sz w:val="24"/>
                <w:szCs w:val="24"/>
              </w:rPr>
              <w:t xml:space="preserve"> so that we can start to look at the </w:t>
            </w:r>
            <w:r w:rsidR="00DF2A8A">
              <w:rPr>
                <w:rFonts w:ascii="Tw Cen MT" w:hAnsi="Tw Cen MT" w:cstheme="minorHAnsi"/>
                <w:sz w:val="24"/>
                <w:szCs w:val="24"/>
              </w:rPr>
              <w:t>chemical reactions on an industrial scale.</w:t>
            </w:r>
          </w:p>
        </w:tc>
      </w:tr>
      <w:tr w:rsidR="00BF2FB6" w:rsidRPr="00BF2FB6" w14:paraId="586529ED" w14:textId="77777777" w:rsidTr="008F0F89">
        <w:trPr>
          <w:trHeight w:val="1164"/>
        </w:trPr>
        <w:tc>
          <w:tcPr>
            <w:tcW w:w="4154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48D1438C" w14:textId="692ED736" w:rsidR="00C5548B" w:rsidRDefault="00FA2780" w:rsidP="00064FF7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affects the rate of chemical reaction?</w:t>
            </w:r>
          </w:p>
          <w:p w14:paraId="45031419" w14:textId="3CE714FA" w:rsidR="00FA2780" w:rsidRDefault="00FA2780" w:rsidP="00064FF7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do we calculate chemical amounts?</w:t>
            </w:r>
          </w:p>
          <w:p w14:paraId="081C8202" w14:textId="2A373165" w:rsidR="00FA2780" w:rsidRDefault="00FA2780" w:rsidP="00064FF7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conservation of mass?</w:t>
            </w:r>
          </w:p>
          <w:p w14:paraId="226EC99C" w14:textId="73B61291" w:rsidR="00FA2780" w:rsidRDefault="00FA2780" w:rsidP="00064FF7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atom economy?</w:t>
            </w:r>
          </w:p>
          <w:p w14:paraId="2AF33718" w14:textId="20F0EFAF" w:rsidR="00FA2780" w:rsidRDefault="00FA2780" w:rsidP="00064FF7">
            <w:pPr>
              <w:pStyle w:val="ListParagraph"/>
              <w:numPr>
                <w:ilvl w:val="0"/>
                <w:numId w:val="21"/>
              </w:numPr>
              <w:ind w:left="447" w:hanging="425"/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is percentage yield?</w:t>
            </w:r>
          </w:p>
          <w:p w14:paraId="475CA76C" w14:textId="0139ED81" w:rsidR="00C5548B" w:rsidRPr="008F0F89" w:rsidRDefault="00C5548B" w:rsidP="00C5548B">
            <w:pPr>
              <w:pStyle w:val="ListParagraph"/>
              <w:ind w:left="447"/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6479" w:type="dxa"/>
          </w:tcPr>
          <w:p w14:paraId="201DC48B" w14:textId="2811657C" w:rsidR="00467682" w:rsidRPr="007339AA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C5548B">
              <w:rPr>
                <w:rFonts w:ascii="Tw Cen MT" w:hAnsi="Tw Cen MT" w:cstheme="minorHAnsi"/>
                <w:sz w:val="24"/>
                <w:szCs w:val="24"/>
              </w:rPr>
              <w:t xml:space="preserve"> KS3 </w:t>
            </w:r>
            <w:r w:rsidR="00FA2780">
              <w:rPr>
                <w:rFonts w:ascii="Tw Cen MT" w:hAnsi="Tw Cen MT" w:cstheme="minorHAnsi"/>
                <w:sz w:val="24"/>
                <w:szCs w:val="24"/>
              </w:rPr>
              <w:t>Chemistry, C1 Atoms, C2 Bonding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7C48DBBE" w14:textId="308490CD" w:rsidR="00BF2FB6" w:rsidRPr="008F0F89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FA2780">
              <w:rPr>
                <w:rFonts w:ascii="Tw Cen MT" w:hAnsi="Tw Cen MT" w:cstheme="minorHAnsi"/>
                <w:sz w:val="24"/>
                <w:szCs w:val="24"/>
              </w:rPr>
              <w:t xml:space="preserve"> C4, C5, C6, C7, C8, C9, C10</w:t>
            </w:r>
          </w:p>
          <w:p w14:paraId="4EF2EC6E" w14:textId="12231019" w:rsidR="00BF2FB6" w:rsidRPr="00BF2FB6" w:rsidRDefault="00BF2FB6" w:rsidP="00BF2FB6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BF2FB6" w:rsidRPr="00BF2FB6" w14:paraId="3446D778" w14:textId="77777777" w:rsidTr="008F0F89">
        <w:trPr>
          <w:trHeight w:val="1509"/>
        </w:trPr>
        <w:tc>
          <w:tcPr>
            <w:tcW w:w="4154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Borders>
              <w:right w:val="nil"/>
            </w:tcBorders>
          </w:tcPr>
          <w:p w14:paraId="768532A1" w14:textId="087FEBE2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</w:t>
            </w:r>
            <w:r w:rsidR="00064FF7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Triple</w:t>
            </w:r>
          </w:p>
          <w:p w14:paraId="714294A5" w14:textId="77777777" w:rsidR="00FA2780" w:rsidRPr="00FA2780" w:rsidRDefault="00FA2780" w:rsidP="00FA2780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2780">
              <w:rPr>
                <w:rFonts w:ascii="Tw Cen MT" w:hAnsi="Tw Cen MT" w:cstheme="minorHAnsi"/>
                <w:sz w:val="24"/>
                <w:szCs w:val="24"/>
              </w:rPr>
              <w:t>Conservation of mass</w:t>
            </w:r>
          </w:p>
          <w:p w14:paraId="224D7E12" w14:textId="77777777" w:rsidR="00FA2780" w:rsidRPr="00FA2780" w:rsidRDefault="00FA2780" w:rsidP="00FA2780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2780">
              <w:rPr>
                <w:rFonts w:ascii="Tw Cen MT" w:hAnsi="Tw Cen MT" w:cstheme="minorHAnsi"/>
                <w:sz w:val="24"/>
                <w:szCs w:val="24"/>
              </w:rPr>
              <w:t>Relative formula mass</w:t>
            </w:r>
          </w:p>
          <w:p w14:paraId="11EA4365" w14:textId="77777777" w:rsidR="00FA2780" w:rsidRPr="00FA2780" w:rsidRDefault="00FA2780" w:rsidP="00FA2780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2780">
              <w:rPr>
                <w:rFonts w:ascii="Tw Cen MT" w:hAnsi="Tw Cen MT" w:cstheme="minorHAnsi"/>
                <w:sz w:val="24"/>
                <w:szCs w:val="24"/>
              </w:rPr>
              <w:t>Changes in mass</w:t>
            </w:r>
          </w:p>
          <w:p w14:paraId="63283EC6" w14:textId="77777777" w:rsidR="00FA2780" w:rsidRPr="00FA2780" w:rsidRDefault="00FA2780" w:rsidP="00FA2780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2780">
              <w:rPr>
                <w:rFonts w:ascii="Tw Cen MT" w:hAnsi="Tw Cen MT" w:cstheme="minorHAnsi"/>
                <w:sz w:val="24"/>
                <w:szCs w:val="24"/>
              </w:rPr>
              <w:t>Uncertainty</w:t>
            </w:r>
          </w:p>
          <w:p w14:paraId="19FD1DE7" w14:textId="77777777" w:rsidR="00FA2780" w:rsidRPr="00FA2780" w:rsidRDefault="00FA2780" w:rsidP="00FA2780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2780">
              <w:rPr>
                <w:rFonts w:ascii="Tw Cen MT" w:hAnsi="Tw Cen MT" w:cstheme="minorHAnsi"/>
                <w:sz w:val="24"/>
                <w:szCs w:val="24"/>
              </w:rPr>
              <w:t>Moles HT ONLY</w:t>
            </w:r>
          </w:p>
          <w:p w14:paraId="1E70F6F2" w14:textId="77777777" w:rsidR="00FA2780" w:rsidRPr="00FA2780" w:rsidRDefault="00FA2780" w:rsidP="00FA2780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2780">
              <w:rPr>
                <w:rFonts w:ascii="Tw Cen MT" w:hAnsi="Tw Cen MT" w:cstheme="minorHAnsi"/>
                <w:sz w:val="24"/>
                <w:szCs w:val="24"/>
              </w:rPr>
              <w:t>Calculating masses HT ONLY</w:t>
            </w:r>
          </w:p>
          <w:p w14:paraId="6EBE5516" w14:textId="77777777" w:rsidR="00FA2780" w:rsidRPr="00FA2780" w:rsidRDefault="00FA2780" w:rsidP="00FA2780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2780">
              <w:rPr>
                <w:rFonts w:ascii="Tw Cen MT" w:hAnsi="Tw Cen MT" w:cstheme="minorHAnsi"/>
                <w:sz w:val="24"/>
                <w:szCs w:val="24"/>
              </w:rPr>
              <w:t>Calculating ratios HT ONLY</w:t>
            </w:r>
          </w:p>
          <w:p w14:paraId="16D32F85" w14:textId="77777777" w:rsidR="00FA2780" w:rsidRPr="00FA2780" w:rsidRDefault="00FA2780" w:rsidP="00FA2780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2780">
              <w:rPr>
                <w:rFonts w:ascii="Tw Cen MT" w:hAnsi="Tw Cen MT" w:cstheme="minorHAnsi"/>
                <w:sz w:val="24"/>
                <w:szCs w:val="24"/>
              </w:rPr>
              <w:t xml:space="preserve">Limiting reactants HT ONLY + solutions </w:t>
            </w:r>
          </w:p>
          <w:p w14:paraId="3ED2C4FA" w14:textId="77777777" w:rsidR="00FA2780" w:rsidRPr="00FA2780" w:rsidRDefault="00FA2780" w:rsidP="00FA2780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2780">
              <w:rPr>
                <w:rFonts w:ascii="Tw Cen MT" w:hAnsi="Tw Cen MT" w:cstheme="minorHAnsi"/>
                <w:sz w:val="24"/>
                <w:szCs w:val="24"/>
              </w:rPr>
              <w:t>Percentage yield</w:t>
            </w:r>
          </w:p>
          <w:p w14:paraId="36DB857C" w14:textId="77777777" w:rsidR="00FA2780" w:rsidRPr="00FA2780" w:rsidRDefault="00FA2780" w:rsidP="00FA2780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2780">
              <w:rPr>
                <w:rFonts w:ascii="Tw Cen MT" w:hAnsi="Tw Cen MT" w:cstheme="minorHAnsi"/>
                <w:sz w:val="24"/>
                <w:szCs w:val="24"/>
              </w:rPr>
              <w:t>Atom economy</w:t>
            </w:r>
          </w:p>
          <w:p w14:paraId="1E9CB7A5" w14:textId="77777777" w:rsidR="00FA2780" w:rsidRPr="00FA2780" w:rsidRDefault="00FA2780" w:rsidP="00FA2780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2780">
              <w:rPr>
                <w:rFonts w:ascii="Tw Cen MT" w:hAnsi="Tw Cen MT" w:cstheme="minorHAnsi"/>
                <w:sz w:val="24"/>
                <w:szCs w:val="24"/>
              </w:rPr>
              <w:t>Concentration HT ONLY</w:t>
            </w:r>
          </w:p>
          <w:p w14:paraId="1E1CCD17" w14:textId="7D3E075C" w:rsidR="00467682" w:rsidRPr="00064FF7" w:rsidRDefault="00FA2780" w:rsidP="00FA2780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FA2780">
              <w:rPr>
                <w:rFonts w:ascii="Tw Cen MT" w:hAnsi="Tw Cen MT" w:cstheme="minorHAnsi"/>
                <w:sz w:val="24"/>
                <w:szCs w:val="24"/>
              </w:rPr>
              <w:t>Gas volumes HT ONLY</w:t>
            </w:r>
          </w:p>
        </w:tc>
        <w:tc>
          <w:tcPr>
            <w:tcW w:w="5097" w:type="dxa"/>
            <w:gridSpan w:val="2"/>
            <w:vMerge w:val="restart"/>
            <w:tcBorders>
              <w:left w:val="nil"/>
            </w:tcBorders>
          </w:tcPr>
          <w:p w14:paraId="241B5B8F" w14:textId="5BDF2D75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Key knowledge </w:t>
            </w:r>
            <w:r w:rsidR="00C5548B">
              <w:rPr>
                <w:rFonts w:ascii="Tw Cen MT" w:hAnsi="Tw Cen MT" w:cstheme="minorHAnsi"/>
                <w:b/>
                <w:bCs/>
                <w:sz w:val="24"/>
                <w:szCs w:val="24"/>
              </w:rPr>
              <w:t>Combined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EAFB605" w14:textId="77777777" w:rsidR="00DF2A8A" w:rsidRPr="00DF2A8A" w:rsidRDefault="00DF2A8A" w:rsidP="00DF2A8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F2A8A">
              <w:rPr>
                <w:rFonts w:ascii="Tw Cen MT" w:hAnsi="Tw Cen MT" w:cstheme="minorHAnsi"/>
                <w:sz w:val="24"/>
                <w:szCs w:val="24"/>
              </w:rPr>
              <w:t>Conservation of mass</w:t>
            </w:r>
          </w:p>
          <w:p w14:paraId="35E6CC1D" w14:textId="77777777" w:rsidR="00DF2A8A" w:rsidRPr="00DF2A8A" w:rsidRDefault="00DF2A8A" w:rsidP="00DF2A8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F2A8A">
              <w:rPr>
                <w:rFonts w:ascii="Tw Cen MT" w:hAnsi="Tw Cen MT" w:cstheme="minorHAnsi"/>
                <w:sz w:val="24"/>
                <w:szCs w:val="24"/>
              </w:rPr>
              <w:t>Relative formula mass</w:t>
            </w:r>
          </w:p>
          <w:p w14:paraId="72313665" w14:textId="77777777" w:rsidR="00DF2A8A" w:rsidRPr="00DF2A8A" w:rsidRDefault="00DF2A8A" w:rsidP="00DF2A8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F2A8A">
              <w:rPr>
                <w:rFonts w:ascii="Tw Cen MT" w:hAnsi="Tw Cen MT" w:cstheme="minorHAnsi"/>
                <w:sz w:val="24"/>
                <w:szCs w:val="24"/>
              </w:rPr>
              <w:t>Changes in mass and uncertainty</w:t>
            </w:r>
          </w:p>
          <w:p w14:paraId="6500B3EE" w14:textId="77777777" w:rsidR="00DF2A8A" w:rsidRPr="00DF2A8A" w:rsidRDefault="00DF2A8A" w:rsidP="00DF2A8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F2A8A">
              <w:rPr>
                <w:rFonts w:ascii="Tw Cen MT" w:hAnsi="Tw Cen MT" w:cstheme="minorHAnsi"/>
                <w:sz w:val="24"/>
                <w:szCs w:val="24"/>
              </w:rPr>
              <w:t>Moles HT ONLY</w:t>
            </w:r>
          </w:p>
          <w:p w14:paraId="67039962" w14:textId="77777777" w:rsidR="00DF2A8A" w:rsidRPr="00DF2A8A" w:rsidRDefault="00DF2A8A" w:rsidP="00DF2A8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F2A8A">
              <w:rPr>
                <w:rFonts w:ascii="Tw Cen MT" w:hAnsi="Tw Cen MT" w:cstheme="minorHAnsi"/>
                <w:sz w:val="24"/>
                <w:szCs w:val="24"/>
              </w:rPr>
              <w:t>Calculating masses HT ONLY</w:t>
            </w:r>
          </w:p>
          <w:p w14:paraId="10204256" w14:textId="77777777" w:rsidR="00DF2A8A" w:rsidRPr="00DF2A8A" w:rsidRDefault="00DF2A8A" w:rsidP="00DF2A8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F2A8A">
              <w:rPr>
                <w:rFonts w:ascii="Tw Cen MT" w:hAnsi="Tw Cen MT" w:cstheme="minorHAnsi"/>
                <w:sz w:val="24"/>
                <w:szCs w:val="24"/>
              </w:rPr>
              <w:t>Calculating ratios HT ONLY</w:t>
            </w:r>
          </w:p>
          <w:p w14:paraId="51F4B815" w14:textId="409D88C7" w:rsidR="00BF2FB6" w:rsidRPr="00BF2FB6" w:rsidRDefault="00DF2A8A" w:rsidP="00DF2A8A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DF2A8A">
              <w:rPr>
                <w:rFonts w:ascii="Tw Cen MT" w:hAnsi="Tw Cen MT" w:cstheme="minorHAnsi"/>
                <w:sz w:val="24"/>
                <w:szCs w:val="24"/>
              </w:rPr>
              <w:t>Limiting reactants HT ONLY and measuring solutions</w:t>
            </w:r>
          </w:p>
        </w:tc>
      </w:tr>
      <w:tr w:rsidR="00BF2FB6" w:rsidRPr="00BF2FB6" w14:paraId="103CDDC4" w14:textId="77777777" w:rsidTr="008F0F89">
        <w:trPr>
          <w:trHeight w:val="2216"/>
        </w:trPr>
        <w:tc>
          <w:tcPr>
            <w:tcW w:w="4154" w:type="dxa"/>
            <w:gridSpan w:val="2"/>
          </w:tcPr>
          <w:p w14:paraId="208967DF" w14:textId="6A6DA371" w:rsidR="00BF2FB6" w:rsidRPr="00F37F25" w:rsidRDefault="00BF2FB6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0A22F4BD" w14:textId="56854667" w:rsidR="00F37F25" w:rsidRDefault="00F37F25" w:rsidP="00F37F25">
            <w:pPr>
              <w:jc w:val="center"/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R</w:t>
            </w:r>
            <w:r w:rsidRPr="00F37F25">
              <w:rPr>
                <w:rFonts w:ascii="Tw Cen MT" w:hAnsi="Tw Cen MT"/>
                <w:bCs/>
                <w:sz w:val="24"/>
                <w:szCs w:val="24"/>
              </w:rPr>
              <w:t xml:space="preserve">esearching information, make predictions using scientific knowledge and understanding, </w:t>
            </w:r>
            <w:r>
              <w:rPr>
                <w:rFonts w:ascii="Tw Cen MT" w:hAnsi="Tw Cen MT"/>
                <w:bCs/>
                <w:sz w:val="24"/>
                <w:szCs w:val="24"/>
              </w:rPr>
              <w:t>analyse</w:t>
            </w:r>
            <w:r w:rsidRPr="00F37F25">
              <w:rPr>
                <w:rFonts w:ascii="Tw Cen MT" w:hAnsi="Tw Cen MT"/>
                <w:bCs/>
                <w:sz w:val="24"/>
                <w:szCs w:val="24"/>
              </w:rPr>
              <w:t xml:space="preserve"> observations and data using tables and graphs, </w:t>
            </w:r>
            <w:r w:rsidR="008058A9" w:rsidRPr="008058A9">
              <w:rPr>
                <w:rFonts w:ascii="Tw Cen MT" w:hAnsi="Tw Cen MT"/>
                <w:bCs/>
                <w:sz w:val="24"/>
                <w:szCs w:val="24"/>
              </w:rPr>
              <w:t>select, plan and carry out the most appropriate types of scientific enquiries to test predictions, including identifying</w:t>
            </w:r>
            <w:r w:rsidR="008058A9">
              <w:rPr>
                <w:rFonts w:ascii="Tw Cen MT" w:hAnsi="Tw Cen MT"/>
                <w:bCs/>
                <w:sz w:val="24"/>
                <w:szCs w:val="24"/>
              </w:rPr>
              <w:t xml:space="preserve"> </w:t>
            </w:r>
            <w:r w:rsidRPr="00F37F25">
              <w:rPr>
                <w:rFonts w:ascii="Tw Cen MT" w:hAnsi="Tw Cen MT"/>
                <w:bCs/>
                <w:sz w:val="24"/>
                <w:szCs w:val="24"/>
              </w:rPr>
              <w:t>independent, dependent, and control variables where appropriate.</w:t>
            </w:r>
          </w:p>
          <w:p w14:paraId="66609FC9" w14:textId="3D4EAA1A" w:rsidR="00BF2FB6" w:rsidRPr="00BF2FB6" w:rsidRDefault="007339AA" w:rsidP="00F37F25">
            <w:pPr>
              <w:jc w:val="center"/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Application of knowledge, making links, ethical debate, critical evaluation</w:t>
            </w:r>
          </w:p>
        </w:tc>
        <w:tc>
          <w:tcPr>
            <w:tcW w:w="6479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8F0F89">
        <w:tc>
          <w:tcPr>
            <w:tcW w:w="4154" w:type="dxa"/>
            <w:gridSpan w:val="2"/>
          </w:tcPr>
          <w:p w14:paraId="74632E4D" w14:textId="77777777" w:rsidR="00F37F25" w:rsidRPr="00BF2FB6" w:rsidRDefault="00F37F25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1BF4286D" w14:textId="77777777" w:rsidR="00F37F25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Multiple choice questions</w:t>
            </w:r>
          </w:p>
          <w:p w14:paraId="00BF992B" w14:textId="77777777" w:rsidR="00F37F25" w:rsidRPr="00467682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Retrieval questions</w:t>
            </w:r>
          </w:p>
          <w:p w14:paraId="5163C99B" w14:textId="77777777" w:rsidR="00F37F25" w:rsidRDefault="00F37F25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Termly summative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7C3A27FB" w14:textId="77777777" w:rsidR="00F37F25" w:rsidRDefault="00F37F25" w:rsidP="00F37F25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End of topic test</w:t>
            </w:r>
          </w:p>
          <w:p w14:paraId="3C064D81" w14:textId="3FF5EC52" w:rsidR="00BF2FB6" w:rsidRPr="00BF2FB6" w:rsidRDefault="00BF2FB6" w:rsidP="00F37F25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479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69AA9723" w14:textId="5C5693F0" w:rsidR="00C5548B" w:rsidRPr="00C5548B" w:rsidRDefault="00F37F25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6"/>
                <w:szCs w:val="16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>Oak</w:t>
            </w:r>
            <w:r w:rsidR="00C5548B">
              <w:rPr>
                <w:rFonts w:ascii="Tw Cen MT" w:hAnsi="Tw Cen MT" w:cstheme="minorHAnsi"/>
                <w:sz w:val="16"/>
                <w:szCs w:val="16"/>
              </w:rPr>
              <w:t xml:space="preserve"> Triple </w:t>
            </w: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 </w:t>
            </w:r>
            <w:hyperlink r:id="rId6" w:history="1">
              <w:r w:rsidR="00DF2A8A" w:rsidRPr="00DF2A8A">
                <w:rPr>
                  <w:rStyle w:val="Hyperlink"/>
                  <w:sz w:val="16"/>
                  <w:szCs w:val="16"/>
                </w:rPr>
                <w:t>https://teachers.thenational.academy/units/quantitative-chemistry-4db7</w:t>
              </w:r>
            </w:hyperlink>
            <w:r w:rsidR="00DF2A8A" w:rsidRPr="00DF2A8A">
              <w:rPr>
                <w:sz w:val="16"/>
                <w:szCs w:val="16"/>
              </w:rPr>
              <w:t xml:space="preserve"> </w:t>
            </w:r>
            <w:r w:rsidR="00C5548B" w:rsidRPr="00DF2A8A">
              <w:rPr>
                <w:sz w:val="10"/>
                <w:szCs w:val="10"/>
              </w:rPr>
              <w:t xml:space="preserve"> </w:t>
            </w:r>
          </w:p>
          <w:p w14:paraId="2DBCDFEB" w14:textId="6F842068" w:rsidR="006D798F" w:rsidRPr="008F0F89" w:rsidRDefault="00C5548B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6"/>
                <w:szCs w:val="16"/>
              </w:rPr>
            </w:pPr>
            <w:r>
              <w:rPr>
                <w:rFonts w:ascii="Tw Cen MT" w:hAnsi="Tw Cen MT" w:cstheme="minorHAnsi"/>
                <w:sz w:val="16"/>
                <w:szCs w:val="16"/>
              </w:rPr>
              <w:t xml:space="preserve">Oak Combined H </w:t>
            </w:r>
            <w:hyperlink r:id="rId7" w:history="1">
              <w:r w:rsidR="00DF2A8A" w:rsidRPr="00DF2A8A">
                <w:rPr>
                  <w:rStyle w:val="Hyperlink"/>
                  <w:sz w:val="14"/>
                  <w:szCs w:val="14"/>
                </w:rPr>
                <w:t>https://teachers.thenational.academy/units/quantitative-chemistry-ht-7363</w:t>
              </w:r>
            </w:hyperlink>
            <w:r w:rsidR="00DF2A8A" w:rsidRPr="00DF2A8A">
              <w:rPr>
                <w:sz w:val="14"/>
                <w:szCs w:val="14"/>
              </w:rPr>
              <w:t xml:space="preserve"> </w:t>
            </w:r>
            <w:r w:rsidRPr="00DF2A8A">
              <w:rPr>
                <w:rFonts w:ascii="Tw Cen MT" w:hAnsi="Tw Cen MT" w:cstheme="minorHAnsi"/>
                <w:sz w:val="8"/>
                <w:szCs w:val="8"/>
              </w:rPr>
              <w:t xml:space="preserve"> </w:t>
            </w:r>
          </w:p>
          <w:p w14:paraId="35D035AA" w14:textId="2CEDA863" w:rsidR="00F37F25" w:rsidRPr="008F0F89" w:rsidRDefault="00C5548B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6"/>
                <w:szCs w:val="16"/>
              </w:rPr>
            </w:pPr>
            <w:r>
              <w:rPr>
                <w:rFonts w:ascii="Tw Cen MT" w:hAnsi="Tw Cen MT" w:cstheme="minorHAnsi"/>
                <w:sz w:val="16"/>
                <w:szCs w:val="16"/>
              </w:rPr>
              <w:t xml:space="preserve">Oak Combined F </w:t>
            </w:r>
            <w:hyperlink r:id="rId8" w:history="1">
              <w:r w:rsidR="00DF2A8A" w:rsidRPr="00DF2A8A">
                <w:rPr>
                  <w:rStyle w:val="Hyperlink"/>
                  <w:sz w:val="14"/>
                  <w:szCs w:val="14"/>
                </w:rPr>
                <w:t>https://teachers.thenational.academy/units/quantitative-chemistry-ft-0499</w:t>
              </w:r>
            </w:hyperlink>
            <w:r w:rsidR="00DF2A8A" w:rsidRPr="00DF2A8A">
              <w:rPr>
                <w:sz w:val="14"/>
                <w:szCs w:val="14"/>
              </w:rPr>
              <w:t xml:space="preserve"> </w:t>
            </w:r>
            <w:r w:rsidR="00EB5E74" w:rsidRPr="00DF2A8A">
              <w:rPr>
                <w:rFonts w:ascii="Tw Cen MT" w:hAnsi="Tw Cen MT" w:cstheme="minorHAnsi"/>
                <w:sz w:val="8"/>
                <w:szCs w:val="8"/>
              </w:rPr>
              <w:t xml:space="preserve"> </w:t>
            </w:r>
          </w:p>
          <w:p w14:paraId="5348AA52" w14:textId="335B34AF" w:rsidR="00DF2A8A" w:rsidRPr="00DF2A8A" w:rsidRDefault="00EB5E74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8"/>
                <w:szCs w:val="18"/>
              </w:rPr>
            </w:pPr>
            <w:r>
              <w:rPr>
                <w:rFonts w:ascii="Tw Cen MT" w:hAnsi="Tw Cen MT" w:cstheme="minorHAnsi"/>
                <w:sz w:val="16"/>
                <w:szCs w:val="16"/>
              </w:rPr>
              <w:t xml:space="preserve">Triple H </w:t>
            </w:r>
            <w:hyperlink r:id="rId9" w:history="1">
              <w:r w:rsidR="00DF2A8A" w:rsidRPr="00DF2A8A">
                <w:rPr>
                  <w:rStyle w:val="Hyperlink"/>
                  <w:sz w:val="8"/>
                  <w:szCs w:val="8"/>
                </w:rPr>
                <w:t>https://app.senecalearning.com/classroom/course/e39e7f70-d100-11e7-9b85-bbf8589a9044/section/5210c220-d123-11e7-bce0-9d60619a6a6b/session</w:t>
              </w:r>
            </w:hyperlink>
          </w:p>
          <w:p w14:paraId="3475FACE" w14:textId="69072C60" w:rsidR="00EB5E74" w:rsidRPr="00EB5E74" w:rsidRDefault="00EB5E74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18"/>
                <w:szCs w:val="18"/>
              </w:rPr>
            </w:pPr>
            <w:r w:rsidRPr="00EB5E74">
              <w:rPr>
                <w:rFonts w:ascii="Tw Cen MT" w:hAnsi="Tw Cen MT" w:cstheme="minorHAnsi"/>
                <w:sz w:val="16"/>
                <w:szCs w:val="16"/>
              </w:rPr>
              <w:t xml:space="preserve">Triple F </w:t>
            </w:r>
            <w:hyperlink r:id="rId10" w:history="1">
              <w:r w:rsidR="00DF2A8A" w:rsidRPr="00DF2A8A">
                <w:rPr>
                  <w:rStyle w:val="Hyperlink"/>
                  <w:sz w:val="8"/>
                  <w:szCs w:val="8"/>
                </w:rPr>
                <w:t>https://app.senecalearning.com/classroom/course/55c3c9d0-1be7-11e8-8a14-e5ed980bc25f/section/58eec660-1c68-11e8-a4e1-65dc649a7558/session</w:t>
              </w:r>
            </w:hyperlink>
            <w:r w:rsidR="00DF2A8A">
              <w:t xml:space="preserve"> </w:t>
            </w:r>
          </w:p>
          <w:p w14:paraId="6E2E1DE9" w14:textId="0DA755CA" w:rsidR="00EB5E74" w:rsidRPr="00EB5E74" w:rsidRDefault="008F0F89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24"/>
                <w:szCs w:val="24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Combined F </w:t>
            </w:r>
            <w:hyperlink r:id="rId11" w:history="1">
              <w:r w:rsidR="004E161F" w:rsidRPr="003E3333">
                <w:rPr>
                  <w:rStyle w:val="Hyperlink"/>
                  <w:sz w:val="8"/>
                  <w:szCs w:val="8"/>
                </w:rPr>
                <w:t>https://app.senecalearning.com/classroom/course/9cc79e80-0731-11e8-91ec-b17b7b8a21b8/section/771531b0-073c-11e8-b824-274a5fea8773/session</w:t>
              </w:r>
            </w:hyperlink>
            <w:r w:rsidR="004E161F">
              <w:rPr>
                <w:sz w:val="8"/>
                <w:szCs w:val="8"/>
              </w:rPr>
              <w:t xml:space="preserve"> </w:t>
            </w:r>
          </w:p>
          <w:p w14:paraId="58D810A0" w14:textId="5061510E" w:rsidR="008F0F89" w:rsidRPr="00F37F25" w:rsidRDefault="008F0F89" w:rsidP="008F0F89">
            <w:pPr>
              <w:pStyle w:val="ListParagraph"/>
              <w:numPr>
                <w:ilvl w:val="0"/>
                <w:numId w:val="23"/>
              </w:numPr>
              <w:ind w:left="276" w:hanging="283"/>
              <w:rPr>
                <w:rFonts w:ascii="Tw Cen MT" w:hAnsi="Tw Cen MT" w:cstheme="minorHAnsi"/>
                <w:sz w:val="24"/>
                <w:szCs w:val="24"/>
              </w:rPr>
            </w:pPr>
            <w:r w:rsidRPr="008F0F89">
              <w:rPr>
                <w:rFonts w:ascii="Tw Cen MT" w:hAnsi="Tw Cen MT" w:cstheme="minorHAnsi"/>
                <w:sz w:val="16"/>
                <w:szCs w:val="16"/>
              </w:rPr>
              <w:t xml:space="preserve">Combined H  </w:t>
            </w:r>
            <w:hyperlink r:id="rId12" w:history="1">
              <w:r w:rsidR="00B7035B" w:rsidRPr="003E3333">
                <w:rPr>
                  <w:rStyle w:val="Hyperlink"/>
                  <w:sz w:val="8"/>
                  <w:szCs w:val="8"/>
                </w:rPr>
                <w:t>https://app.senecalearning.com/classroom/course/4c2bb850-1d46-11e8-840a-ed991cd3461d/section/e0b57f10-1e09-11e8-9c3c-ada0d86b7563/session</w:t>
              </w:r>
            </w:hyperlink>
            <w:r w:rsidR="00B7035B">
              <w:rPr>
                <w:sz w:val="8"/>
                <w:szCs w:val="8"/>
              </w:rPr>
              <w:t xml:space="preserve"> </w:t>
            </w:r>
          </w:p>
        </w:tc>
        <w:tc>
          <w:tcPr>
            <w:tcW w:w="2190" w:type="dxa"/>
            <w:vMerge w:val="restart"/>
          </w:tcPr>
          <w:p w14:paraId="5DB8CC58" w14:textId="4B1E7E1F" w:rsidR="00C5548B" w:rsidRDefault="00467682" w:rsidP="00FA278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</w:r>
            <w:r w:rsidR="00FA2780">
              <w:rPr>
                <w:rFonts w:ascii="Tw Cen MT" w:hAnsi="Tw Cen MT" w:cstheme="minorHAnsi"/>
                <w:sz w:val="24"/>
                <w:szCs w:val="24"/>
              </w:rPr>
              <w:t>Concentration</w:t>
            </w:r>
          </w:p>
          <w:p w14:paraId="6BD95595" w14:textId="085AFF70" w:rsidR="00FA2780" w:rsidRDefault="00FA2780" w:rsidP="00FA278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Volume</w:t>
            </w:r>
          </w:p>
          <w:p w14:paraId="2606259C" w14:textId="5D88C0A1" w:rsidR="00FA2780" w:rsidRDefault="00FA2780" w:rsidP="00FA278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Moles</w:t>
            </w:r>
          </w:p>
          <w:p w14:paraId="6252C93C" w14:textId="7EA09C97" w:rsidR="00FA2780" w:rsidRDefault="00FA2780" w:rsidP="00FA278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Product</w:t>
            </w:r>
          </w:p>
          <w:p w14:paraId="72A43C92" w14:textId="5D2C57E9" w:rsidR="00FA2780" w:rsidRDefault="00FA2780" w:rsidP="00FA278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Reactions</w:t>
            </w:r>
          </w:p>
          <w:p w14:paraId="09356734" w14:textId="1A045265" w:rsidR="00FA2780" w:rsidRDefault="00FA2780" w:rsidP="00FA278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Calculation</w:t>
            </w:r>
          </w:p>
          <w:p w14:paraId="36E1AE01" w14:textId="6E4D1CE5" w:rsidR="00FA2780" w:rsidRDefault="00FA2780" w:rsidP="00FA278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Formula Mass</w:t>
            </w:r>
          </w:p>
          <w:p w14:paraId="1F5A5D67" w14:textId="29E8C6C9" w:rsidR="00FA2780" w:rsidRDefault="00FA2780" w:rsidP="00FA278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Atom economy</w:t>
            </w:r>
          </w:p>
          <w:p w14:paraId="621EDD0B" w14:textId="4069A7EA" w:rsidR="00FA2780" w:rsidRDefault="00FA2780" w:rsidP="00FA278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Percentage yield</w:t>
            </w:r>
          </w:p>
          <w:p w14:paraId="305B8297" w14:textId="503A1174" w:rsidR="00DF2A8A" w:rsidRDefault="00DF2A8A" w:rsidP="00FA2780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Solutions</w:t>
            </w:r>
          </w:p>
          <w:p w14:paraId="71EDD59F" w14:textId="22C0A29E" w:rsidR="00DF2A8A" w:rsidRPr="00467682" w:rsidRDefault="00DF2A8A" w:rsidP="00C5548B">
            <w:pPr>
              <w:rPr>
                <w:rFonts w:ascii="Tw Cen MT" w:hAnsi="Tw Cen MT" w:cstheme="minorHAnsi"/>
                <w:sz w:val="24"/>
                <w:szCs w:val="24"/>
              </w:rPr>
            </w:pPr>
          </w:p>
        </w:tc>
        <w:tc>
          <w:tcPr>
            <w:tcW w:w="2907" w:type="dxa"/>
            <w:vMerge w:val="restart"/>
          </w:tcPr>
          <w:p w14:paraId="62CFE2BA" w14:textId="77777777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0E649F69" w14:textId="4381A01D" w:rsidR="00C5548B" w:rsidRDefault="00DF2A8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Molar mass</w:t>
            </w:r>
          </w:p>
          <w:p w14:paraId="5EE843FD" w14:textId="77B38C41" w:rsidR="00DF2A8A" w:rsidRDefault="00DF2A8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Ratio</w:t>
            </w:r>
          </w:p>
          <w:p w14:paraId="3E18A02F" w14:textId="052B6C24" w:rsidR="00DF2A8A" w:rsidRDefault="00DF2A8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Reactant</w:t>
            </w:r>
          </w:p>
          <w:p w14:paraId="6DE05214" w14:textId="3DF0E28E" w:rsidR="00DF2A8A" w:rsidRDefault="00DF2A8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Product</w:t>
            </w:r>
          </w:p>
          <w:p w14:paraId="5D303F3F" w14:textId="49D1303D" w:rsidR="00DF2A8A" w:rsidRDefault="00DF2A8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Gas volume</w:t>
            </w:r>
          </w:p>
          <w:p w14:paraId="79347C88" w14:textId="5ABE6CA7" w:rsidR="00DF2A8A" w:rsidRDefault="00DF2A8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Uncertainty</w:t>
            </w:r>
          </w:p>
          <w:p w14:paraId="565B183C" w14:textId="21CDA824" w:rsidR="00DF2A8A" w:rsidRDefault="00DF2A8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Atoms</w:t>
            </w:r>
          </w:p>
          <w:p w14:paraId="69B82173" w14:textId="335ACB51" w:rsidR="00DF2A8A" w:rsidRDefault="00DF2A8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Elements</w:t>
            </w:r>
          </w:p>
          <w:p w14:paraId="3D36BE37" w14:textId="2C35D522" w:rsidR="00DF2A8A" w:rsidRDefault="00DF2A8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Compounds</w:t>
            </w:r>
          </w:p>
          <w:p w14:paraId="74029DE4" w14:textId="112DC451" w:rsidR="00C5548B" w:rsidRPr="00467682" w:rsidRDefault="00DF2A8A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Conservation of mass</w:t>
            </w:r>
          </w:p>
        </w:tc>
      </w:tr>
      <w:tr w:rsidR="00BF2FB6" w:rsidRPr="00BF2FB6" w14:paraId="780A4973" w14:textId="77777777" w:rsidTr="00DF2A8A">
        <w:trPr>
          <w:trHeight w:val="1078"/>
        </w:trPr>
        <w:tc>
          <w:tcPr>
            <w:tcW w:w="4154" w:type="dxa"/>
            <w:gridSpan w:val="2"/>
          </w:tcPr>
          <w:p w14:paraId="3A7F8A1E" w14:textId="22C7D28E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22F623BE" w14:textId="4C08E1BA" w:rsidR="00BF2FB6" w:rsidRPr="007339AA" w:rsidRDefault="00064FF7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FA2780">
              <w:rPr>
                <w:rFonts w:ascii="Tw Cen MT" w:hAnsi="Tw Cen MT" w:cstheme="minorHAnsi"/>
                <w:sz w:val="24"/>
                <w:szCs w:val="24"/>
              </w:rPr>
              <w:t>Research chemicals, as they range from neurotransmitters in our brain to ammonia in fertilisers.</w:t>
            </w:r>
            <w:r w:rsidR="00EB5E74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>Careers.</w:t>
            </w:r>
          </w:p>
        </w:tc>
        <w:tc>
          <w:tcPr>
            <w:tcW w:w="6479" w:type="dxa"/>
          </w:tcPr>
          <w:p w14:paraId="57C5E6DF" w14:textId="079FE02E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467682">
              <w:rPr>
                <w:rFonts w:ascii="Tw Cen MT" w:hAnsi="Tw Cen MT" w:cstheme="minorHAnsi"/>
                <w:sz w:val="24"/>
                <w:szCs w:val="24"/>
              </w:rPr>
              <w:t>…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 xml:space="preserve"> </w:t>
            </w:r>
            <w:r w:rsidR="00FA2780">
              <w:rPr>
                <w:rFonts w:ascii="Tw Cen MT" w:hAnsi="Tw Cen MT" w:cstheme="minorHAnsi"/>
                <w:sz w:val="24"/>
                <w:szCs w:val="24"/>
              </w:rPr>
              <w:t>p</w:t>
            </w:r>
            <w:r w:rsidR="007339AA">
              <w:rPr>
                <w:rFonts w:ascii="Tw Cen MT" w:hAnsi="Tw Cen MT" w:cstheme="minorHAnsi"/>
                <w:sz w:val="24"/>
                <w:szCs w:val="24"/>
              </w:rPr>
              <w:t xml:space="preserve">recious planet and </w:t>
            </w:r>
            <w:r w:rsidR="00064FF7">
              <w:rPr>
                <w:rFonts w:ascii="Tw Cen MT" w:hAnsi="Tw Cen MT" w:cstheme="minorHAnsi"/>
                <w:sz w:val="24"/>
                <w:szCs w:val="24"/>
              </w:rPr>
              <w:t>civic responsibility</w:t>
            </w:r>
          </w:p>
        </w:tc>
        <w:tc>
          <w:tcPr>
            <w:tcW w:w="2190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lastRenderedPageBreak/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31B4F"/>
    <w:multiLevelType w:val="hybridMultilevel"/>
    <w:tmpl w:val="579EA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15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16"/>
  </w:num>
  <w:num w:numId="11">
    <w:abstractNumId w:val="4"/>
  </w:num>
  <w:num w:numId="12">
    <w:abstractNumId w:val="18"/>
  </w:num>
  <w:num w:numId="13">
    <w:abstractNumId w:val="22"/>
  </w:num>
  <w:num w:numId="14">
    <w:abstractNumId w:val="10"/>
  </w:num>
  <w:num w:numId="15">
    <w:abstractNumId w:val="19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  <w:num w:numId="20">
    <w:abstractNumId w:val="9"/>
  </w:num>
  <w:num w:numId="21">
    <w:abstractNumId w:val="21"/>
  </w:num>
  <w:num w:numId="22">
    <w:abstractNumId w:val="20"/>
  </w:num>
  <w:num w:numId="23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644F8"/>
    <w:rsid w:val="00064FF7"/>
    <w:rsid w:val="00092283"/>
    <w:rsid w:val="000A04D0"/>
    <w:rsid w:val="000B724A"/>
    <w:rsid w:val="000C0B8B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F6168"/>
    <w:rsid w:val="00206B05"/>
    <w:rsid w:val="0020734F"/>
    <w:rsid w:val="002255D7"/>
    <w:rsid w:val="002674FB"/>
    <w:rsid w:val="002772BA"/>
    <w:rsid w:val="002A1025"/>
    <w:rsid w:val="002B2B34"/>
    <w:rsid w:val="002F5E68"/>
    <w:rsid w:val="00351C78"/>
    <w:rsid w:val="003A3B9F"/>
    <w:rsid w:val="003B3732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E161F"/>
    <w:rsid w:val="004F0451"/>
    <w:rsid w:val="005035C2"/>
    <w:rsid w:val="005037E3"/>
    <w:rsid w:val="0051380D"/>
    <w:rsid w:val="005232A8"/>
    <w:rsid w:val="00523C5A"/>
    <w:rsid w:val="0057057B"/>
    <w:rsid w:val="005F1EEF"/>
    <w:rsid w:val="006418DD"/>
    <w:rsid w:val="00646439"/>
    <w:rsid w:val="006B6095"/>
    <w:rsid w:val="006D798F"/>
    <w:rsid w:val="0070519D"/>
    <w:rsid w:val="00712A5C"/>
    <w:rsid w:val="007339AA"/>
    <w:rsid w:val="007406FD"/>
    <w:rsid w:val="0074365A"/>
    <w:rsid w:val="00750979"/>
    <w:rsid w:val="007F56F0"/>
    <w:rsid w:val="008058A9"/>
    <w:rsid w:val="00826996"/>
    <w:rsid w:val="00892CDD"/>
    <w:rsid w:val="008D2D3E"/>
    <w:rsid w:val="008F0F89"/>
    <w:rsid w:val="008F5DA3"/>
    <w:rsid w:val="009A026F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23D8C"/>
    <w:rsid w:val="00B3119C"/>
    <w:rsid w:val="00B64FCF"/>
    <w:rsid w:val="00B7035B"/>
    <w:rsid w:val="00B82F43"/>
    <w:rsid w:val="00BC4FE2"/>
    <w:rsid w:val="00BD77B0"/>
    <w:rsid w:val="00BE1005"/>
    <w:rsid w:val="00BE3693"/>
    <w:rsid w:val="00BF2FB6"/>
    <w:rsid w:val="00C03C38"/>
    <w:rsid w:val="00C37957"/>
    <w:rsid w:val="00C5548B"/>
    <w:rsid w:val="00C66849"/>
    <w:rsid w:val="00C96551"/>
    <w:rsid w:val="00CA4FC9"/>
    <w:rsid w:val="00D11A60"/>
    <w:rsid w:val="00D558A0"/>
    <w:rsid w:val="00D7620F"/>
    <w:rsid w:val="00DC4A86"/>
    <w:rsid w:val="00DF2A8A"/>
    <w:rsid w:val="00DF4B36"/>
    <w:rsid w:val="00E1416D"/>
    <w:rsid w:val="00E25346"/>
    <w:rsid w:val="00E6587D"/>
    <w:rsid w:val="00EA1ED5"/>
    <w:rsid w:val="00EB5E74"/>
    <w:rsid w:val="00ED3E69"/>
    <w:rsid w:val="00EE374A"/>
    <w:rsid w:val="00EE6B79"/>
    <w:rsid w:val="00F2768F"/>
    <w:rsid w:val="00F33ED3"/>
    <w:rsid w:val="00F37F25"/>
    <w:rsid w:val="00F42934"/>
    <w:rsid w:val="00F83E9E"/>
    <w:rsid w:val="00F9173B"/>
    <w:rsid w:val="00FA2780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F37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thenational.academy/units/quantitative-chemistry-ft-04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chers.thenational.academy/units/quantitative-chemistry-ht-7363" TargetMode="External"/><Relationship Id="rId12" Type="http://schemas.openxmlformats.org/officeDocument/2006/relationships/hyperlink" Target="https://app.senecalearning.com/classroom/course/4c2bb850-1d46-11e8-840a-ed991cd3461d/section/e0b57f10-1e09-11e8-9c3c-ada0d86b7563/session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teachers.thenational.academy/units/quantitative-chemistry-4db7" TargetMode="External"/><Relationship Id="rId11" Type="http://schemas.openxmlformats.org/officeDocument/2006/relationships/hyperlink" Target="https://app.senecalearning.com/classroom/course/9cc79e80-0731-11e8-91ec-b17b7b8a21b8/section/771531b0-073c-11e8-b824-274a5fea8773/session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app.senecalearning.com/classroom/course/55c3c9d0-1be7-11e8-8a14-e5ed980bc25f/section/58eec660-1c68-11e8-a4e1-65dc649a7558/se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senecalearning.com/classroom/course/e39e7f70-d100-11e7-9b85-bbf8589a9044/section/5210c220-d123-11e7-bce0-9d60619a6a6b/sess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F1308-323C-438F-9787-29FF8D7567C7}"/>
</file>

<file path=customXml/itemProps3.xml><?xml version="1.0" encoding="utf-8"?>
<ds:datastoreItem xmlns:ds="http://schemas.openxmlformats.org/officeDocument/2006/customXml" ds:itemID="{02EEF41D-16E3-49FF-80B2-4B5CFFEF45CD}"/>
</file>

<file path=customXml/itemProps4.xml><?xml version="1.0" encoding="utf-8"?>
<ds:datastoreItem xmlns:ds="http://schemas.openxmlformats.org/officeDocument/2006/customXml" ds:itemID="{B3E2FCD0-B4FC-4224-9006-231C3BAF7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L McClure</cp:lastModifiedBy>
  <cp:revision>3</cp:revision>
  <dcterms:created xsi:type="dcterms:W3CDTF">2021-07-08T13:19:00Z</dcterms:created>
  <dcterms:modified xsi:type="dcterms:W3CDTF">2021-07-08T13:26:00Z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